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3A570">
      <w:pPr>
        <w:pStyle w:val="2"/>
        <w:spacing w:line="315" w:lineRule="atLeast"/>
        <w:jc w:val="center"/>
        <w:rPr>
          <w:rFonts w:ascii="Times New Roman" w:hAnsi="Times New Roman" w:cs="Times New Roman"/>
          <w:color w:val="000000"/>
          <w:sz w:val="21"/>
          <w:szCs w:val="21"/>
        </w:rPr>
      </w:pPr>
      <w:bookmarkStart w:id="0" w:name="_GoBack"/>
      <w:bookmarkEnd w:id="0"/>
      <w:r>
        <w:rPr>
          <w:rFonts w:hint="eastAsia" w:ascii="方正小标宋简体" w:hAnsi="Times New Roman" w:eastAsia="方正小标宋简体" w:cs="Times New Roman"/>
          <w:color w:val="000000"/>
          <w:sz w:val="44"/>
          <w:szCs w:val="44"/>
        </w:rPr>
        <w:t>高等学校哲学社会科学繁荣计划</w:t>
      </w:r>
    </w:p>
    <w:p w14:paraId="385EA9DB">
      <w:pPr>
        <w:pStyle w:val="2"/>
        <w:spacing w:line="315" w:lineRule="atLeast"/>
        <w:jc w:val="center"/>
        <w:rPr>
          <w:rFonts w:ascii="Times New Roman" w:hAnsi="Times New Roman" w:cs="Times New Roman"/>
          <w:color w:val="000000"/>
          <w:sz w:val="21"/>
          <w:szCs w:val="21"/>
        </w:rPr>
      </w:pPr>
      <w:r>
        <w:rPr>
          <w:rFonts w:hint="eastAsia" w:ascii="方正小标宋简体" w:hAnsi="Times New Roman" w:eastAsia="方正小标宋简体" w:cs="Times New Roman"/>
          <w:color w:val="000000"/>
          <w:sz w:val="44"/>
          <w:szCs w:val="44"/>
        </w:rPr>
        <w:t>专项资金管理办法</w:t>
      </w:r>
    </w:p>
    <w:p w14:paraId="22A70D2E">
      <w:pPr>
        <w:pStyle w:val="2"/>
        <w:spacing w:line="315" w:lineRule="atLeast"/>
        <w:jc w:val="center"/>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 </w:t>
      </w:r>
    </w:p>
    <w:p w14:paraId="7DB15049">
      <w:pPr>
        <w:pStyle w:val="2"/>
        <w:spacing w:before="315" w:beforeAutospacing="0" w:after="315" w:afterAutospacing="0" w:line="315" w:lineRule="atLeast"/>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第一章</w:t>
      </w:r>
      <w:r>
        <w:rPr>
          <w:rFonts w:ascii="Calibri" w:hAnsi="Calibri" w:eastAsia="黑体" w:cs="Calibri"/>
          <w:color w:val="000000"/>
          <w:sz w:val="32"/>
          <w:szCs w:val="32"/>
        </w:rPr>
        <w:t>  </w:t>
      </w:r>
      <w:r>
        <w:rPr>
          <w:rFonts w:hint="eastAsia" w:ascii="黑体" w:hAnsi="黑体" w:eastAsia="黑体" w:cs="Times New Roman"/>
          <w:color w:val="000000"/>
          <w:sz w:val="32"/>
          <w:szCs w:val="32"/>
        </w:rPr>
        <w:t>总</w:t>
      </w:r>
      <w:r>
        <w:rPr>
          <w:rFonts w:ascii="Calibri" w:hAnsi="Calibri" w:eastAsia="黑体" w:cs="Calibri"/>
          <w:color w:val="000000"/>
          <w:sz w:val="32"/>
          <w:szCs w:val="32"/>
        </w:rPr>
        <w:t>  </w:t>
      </w:r>
      <w:r>
        <w:rPr>
          <w:rFonts w:hint="eastAsia" w:ascii="黑体" w:hAnsi="黑体" w:eastAsia="黑体" w:cs="Times New Roman"/>
          <w:color w:val="000000"/>
          <w:sz w:val="32"/>
          <w:szCs w:val="32"/>
        </w:rPr>
        <w:t>则</w:t>
      </w:r>
    </w:p>
    <w:p w14:paraId="1661F1A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第一条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14:paraId="4680C50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繁荣计划专项资金由中央财政安排，是用于支持高校思政课建设和哲学社会科学研究、学科发展、人才培养、队伍建设的专项资金。</w:t>
      </w:r>
    </w:p>
    <w:p w14:paraId="55134ED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繁荣计划专项资金管理，以促进高校哲学社会科学高质量发展为目标，以推动高校加快构建中国特色哲学社会科学学科体系、学术体系、话语体系为重点，坚持以人为本、遵循规律、突出绩效、规范安全的原则。</w:t>
      </w:r>
    </w:p>
    <w:p w14:paraId="60C4A23D">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财政部根据国家教育事业发展规划，结合高校哲学社会科学资金需求、国家财力可能和绩效结果，将繁荣计划专项资金列入中央财政预算，核定支出规划和年度预算，对资金使用和管理情况进行监督指导。</w:t>
      </w:r>
    </w:p>
    <w:p w14:paraId="7290DBF8">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教育部负责编制繁荣计划专项资金年度预算、具体组织实施和管理监督工作，健全绩效考评机制。</w:t>
      </w:r>
    </w:p>
    <w:p w14:paraId="3A53A2D1">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项目承担高校是繁荣计划专项资金管理的责任主体，建立健全专项资金管理制度，完善内部控制、绩效管理和监督约束机制，合理确定科研、财务、人事、资产、审计、监察等部门的责任和权限。</w:t>
      </w:r>
    </w:p>
    <w:p w14:paraId="359A112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项目负责人是繁荣计划专项资金使用的直接责任人，对资金使用的合法合规性、合理性、真实性和相关性负责。</w:t>
      </w:r>
    </w:p>
    <w:p w14:paraId="7290EE37">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繁荣计划专项资金分为研究项目资金、非研究项目资金和管理资金。</w:t>
      </w:r>
    </w:p>
    <w:p w14:paraId="3D0FA725">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第二章</w:t>
      </w:r>
      <w:r>
        <w:rPr>
          <w:rFonts w:ascii="Calibri" w:hAnsi="Calibri" w:eastAsia="黑体" w:cs="Calibri"/>
          <w:color w:val="000000"/>
          <w:sz w:val="32"/>
          <w:szCs w:val="32"/>
        </w:rPr>
        <w:t>  </w:t>
      </w:r>
      <w:r>
        <w:rPr>
          <w:rFonts w:hint="eastAsia" w:ascii="黑体" w:hAnsi="黑体" w:eastAsia="黑体" w:cs="Times New Roman"/>
          <w:color w:val="000000"/>
          <w:sz w:val="32"/>
          <w:szCs w:val="32"/>
        </w:rPr>
        <w:t>研究项目资金</w:t>
      </w:r>
    </w:p>
    <w:p w14:paraId="1C8C1754">
      <w:pPr>
        <w:pStyle w:val="2"/>
        <w:spacing w:line="23" w:lineRule="atLeast"/>
        <w:ind w:firstLine="645"/>
        <w:jc w:val="both"/>
        <w:rPr>
          <w:color w:val="000000"/>
          <w:sz w:val="27"/>
          <w:szCs w:val="27"/>
        </w:rPr>
      </w:pPr>
      <w:r>
        <w:rPr>
          <w:rFonts w:hint="eastAsia" w:ascii="黑体" w:hAnsi="黑体" w:eastAsia="黑体"/>
          <w:color w:val="000000"/>
          <w:sz w:val="32"/>
          <w:szCs w:val="32"/>
        </w:rPr>
        <w:t>第九条</w:t>
      </w:r>
      <w:r>
        <w:rPr>
          <w:rFonts w:hint="eastAsia" w:ascii="仿宋_GB2312" w:eastAsia="仿宋_GB2312"/>
          <w:color w:val="000000"/>
          <w:sz w:val="32"/>
          <w:szCs w:val="32"/>
        </w:rPr>
        <w:t>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14:paraId="45679FAC">
      <w:pPr>
        <w:pStyle w:val="2"/>
        <w:spacing w:line="23" w:lineRule="atLeast"/>
        <w:ind w:firstLine="645"/>
        <w:jc w:val="both"/>
        <w:rPr>
          <w:rFonts w:hint="eastAsia"/>
          <w:color w:val="000000"/>
          <w:sz w:val="27"/>
          <w:szCs w:val="27"/>
        </w:rPr>
      </w:pPr>
      <w:r>
        <w:rPr>
          <w:rFonts w:hint="eastAsia" w:ascii="仿宋_GB2312" w:eastAsia="仿宋_GB2312"/>
          <w:color w:val="000000"/>
          <w:sz w:val="32"/>
          <w:szCs w:val="32"/>
        </w:rPr>
        <w:t>本办法所称的研究项目，包括教育部哲学社会科学研究项目，以及专项资金支持的研究基地、实验室、平台、智库等设立的研究项目。</w:t>
      </w:r>
    </w:p>
    <w:p w14:paraId="33655F21">
      <w:pPr>
        <w:pStyle w:val="2"/>
        <w:spacing w:line="315" w:lineRule="atLeast"/>
        <w:ind w:firstLine="645"/>
        <w:jc w:val="both"/>
        <w:rPr>
          <w:rFonts w:hint="eastAsia" w:ascii="Times New Roman" w:hAnsi="Times New Roman" w:cs="Times New Roman"/>
          <w:color w:val="000000"/>
          <w:sz w:val="21"/>
          <w:szCs w:val="21"/>
        </w:rPr>
      </w:pPr>
      <w:r>
        <w:rPr>
          <w:rFonts w:hint="eastAsia" w:ascii="黑体" w:hAnsi="黑体" w:eastAsia="黑体" w:cs="Times New Roman"/>
          <w:color w:val="000000"/>
          <w:sz w:val="32"/>
          <w:szCs w:val="32"/>
        </w:rPr>
        <w:t>第十条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直接费用是指在项目研究过程中发生的与之直接相关的费用，包括：</w:t>
      </w:r>
    </w:p>
    <w:p w14:paraId="52FF401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（一）业务费：指在项目研究过程中购置图书、收集资料、复印翻拍、检索文献、采集数据、翻译资料、印刷出版、会议、差旅、国际合作与交流等费用，以及其他相关支出。</w:t>
      </w:r>
    </w:p>
    <w:p w14:paraId="2549A62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（二）劳务费：指在项目实施过程中支付给参与研究的研究生、博士后、访问学者、聘用的研究人员、科研辅助人员等的劳务性费用，以及支付给临时聘请的咨询专家的费用等。</w:t>
      </w:r>
    </w:p>
    <w:p w14:paraId="157878DF">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聘用人员的劳务费开支标准，参照当地社科研究从业人员平均工资水平，根据其在研究中承担的工作任务确定，其由单位缴纳的社会保险补助、住房公积金等纳入劳务费科目列支。</w:t>
      </w:r>
    </w:p>
    <w:p w14:paraId="49C1ADC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支付给临时聘请的咨询专家的费用，不得支付给参与本项目及所属课题研究和管理的相关人员，其管理按照国家有关规定执行。</w:t>
      </w:r>
    </w:p>
    <w:p w14:paraId="26353A16">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（三）设备费：指在项目研究过程中购置设备和设备耗材、升级维护现有设备及租用外单位设备而发生的费用。应当合理购置设备，鼓励共享、租赁及对现有设备进行升级改造。</w:t>
      </w:r>
    </w:p>
    <w:p w14:paraId="630222B3">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第十一条</w:t>
      </w:r>
      <w:r>
        <w:rPr>
          <w:rFonts w:hint="eastAsia" w:ascii="仿宋_GB2312" w:hAnsi="Times New Roman" w:eastAsia="仿宋_GB2312" w:cs="Times New Roman"/>
          <w:color w:val="000000"/>
          <w:sz w:val="32"/>
          <w:szCs w:val="32"/>
        </w:rPr>
        <w:t>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63FA1C85">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14:paraId="0D24FEF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5F556194">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14:paraId="698D588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间接费用按照不超过项目资助总额的一定比例核定，具体如下：50万元及以下部分为40%；超过50万元至500万元的部分为30%；超过500万元的部分为20%。</w:t>
      </w:r>
    </w:p>
    <w:p w14:paraId="6E8A5D9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对纯理论基础研究项目，间接费用比例50万元及以下部分可提高到不超过60%；超过50万元至500万元的部分可提高到不超过50%；超过500万元的部分可提高到不超过40%，具体范围由教育部商财政部确定。</w:t>
      </w:r>
    </w:p>
    <w:p w14:paraId="4D34E07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教育部根据繁荣计划建设目标和建设内容，组织专家重点对预算申请的目标相关性、政策相符性、经济合理性进行评审。</w:t>
      </w:r>
    </w:p>
    <w:p w14:paraId="009500A4">
      <w:pPr>
        <w:pStyle w:val="2"/>
        <w:spacing w:line="315" w:lineRule="atLeast"/>
        <w:ind w:firstLine="630"/>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项目负责人应当严格执行批准后的预算。预算有以下情况确需调剂的，由项目承担高校审批或备案。</w:t>
      </w:r>
    </w:p>
    <w:p w14:paraId="6F46564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（一）原预算未列示外拨资金，需要增列的；外拨资金如需调剂的，由项目负责人根据科研活动的实际需要提出申请，报项目承担高校审批。</w:t>
      </w:r>
    </w:p>
    <w:p w14:paraId="78683B8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（二）设备费预算如需调剂的，由项目负责人根据科研活动的实际需要提出申请，报项目承担高校审批。</w:t>
      </w:r>
    </w:p>
    <w:p w14:paraId="51BFB049">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（三）业务费、劳务费预算如需调剂的，由项目负责人根据科研活动实际需要自主安排，并报项目承担高校备案。</w:t>
      </w:r>
    </w:p>
    <w:p w14:paraId="41DAB41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（四）</w:t>
      </w:r>
      <w:r>
        <w:rPr>
          <w:rFonts w:hint="eastAsia" w:ascii="仿宋_GB2312" w:eastAsia="仿宋_GB2312" w:cs="Times New Roman"/>
          <w:color w:val="000000"/>
          <w:sz w:val="32"/>
          <w:szCs w:val="32"/>
        </w:rPr>
        <w:t>间接费用</w:t>
      </w:r>
      <w:r>
        <w:rPr>
          <w:rFonts w:hint="eastAsia" w:ascii="仿宋_GB2312" w:hAnsi="Times New Roman" w:eastAsia="仿宋_GB2312" w:cs="Times New Roman"/>
          <w:color w:val="000000"/>
          <w:sz w:val="32"/>
          <w:szCs w:val="32"/>
        </w:rPr>
        <w:t>预算总额不得调增，项目负责人与项目承担高校协商一致后可调减用于直接费用。</w:t>
      </w:r>
    </w:p>
    <w:p w14:paraId="7E3AB7F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项目承担高校应当根据科研活动的实际需求及时办理调剂手续。</w:t>
      </w:r>
    </w:p>
    <w:p w14:paraId="2DB00C4B">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包干制项目实施范围由教育部商财政部确定。</w:t>
      </w:r>
    </w:p>
    <w:p w14:paraId="55D46E70">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项目承担高校应当制定项目资金包干制管理规定。管理规定应当包括资金使用范围和标准、各方责任、违规惩戒措施等内容，报教育部备案。</w:t>
      </w:r>
    </w:p>
    <w:p w14:paraId="519DACA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包干制项目负责人应在承诺遵守科研伦理道德和学风诚信要求、经费全部用于与项目研究工作相关支出的基础上，本着科学、合理、规范、有效的原则使用资金，无需编制预算。</w:t>
      </w:r>
    </w:p>
    <w:p w14:paraId="28F681EE">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包干制项目资金由项目负责人自主决定使用，对于本办法第十条、第十一条规定的开支范围内的资金由项目负责人自主决定使用，无需履行调剂程序。</w:t>
      </w:r>
    </w:p>
    <w:p w14:paraId="13E33E76">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对于项目承担高校为研究提供的房屋占用，日常水、电、气、暖等消耗及开展有关管理工作的补助支出，由项目承担高校根据实际管理需要，在充分征求项目负责人意见基础上确定合理标准。</w:t>
      </w:r>
    </w:p>
    <w:p w14:paraId="0FDFF4C9">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对于激励科研人员的绩效支出，由项目负责人根据实际科研需要和相关薪酬标准自主确定，项目承担高校按照工资制度进行管理。</w:t>
      </w:r>
    </w:p>
    <w:p w14:paraId="1DBE742D">
      <w:pPr>
        <w:pStyle w:val="2"/>
        <w:shd w:val="clear" w:color="auto" w:fill="FFFFFF"/>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第三章</w:t>
      </w:r>
      <w:r>
        <w:rPr>
          <w:rFonts w:ascii="Calibri" w:hAnsi="Calibri" w:eastAsia="黑体" w:cs="Calibri"/>
          <w:color w:val="000000"/>
          <w:sz w:val="32"/>
          <w:szCs w:val="32"/>
        </w:rPr>
        <w:t>  </w:t>
      </w:r>
      <w:r>
        <w:rPr>
          <w:rFonts w:hint="eastAsia" w:ascii="黑体" w:hAnsi="黑体" w:eastAsia="黑体" w:cs="Times New Roman"/>
          <w:color w:val="000000"/>
          <w:sz w:val="32"/>
          <w:szCs w:val="32"/>
        </w:rPr>
        <w:t>非研究项目资金</w:t>
      </w:r>
    </w:p>
    <w:p w14:paraId="2E7B9BD2">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第二十一条</w:t>
      </w:r>
      <w:r>
        <w:rPr>
          <w:rFonts w:hint="eastAsia" w:ascii="仿宋_GB2312" w:hAnsi="Times New Roman" w:eastAsia="仿宋_GB2312" w:cs="Times New Roman"/>
          <w:color w:val="000000"/>
          <w:sz w:val="32"/>
          <w:szCs w:val="32"/>
        </w:rPr>
        <w:t> 非研究项目资金支出是指支持研究基地、实验室、平台、智库、团队等建设费用。</w:t>
      </w:r>
    </w:p>
    <w:p w14:paraId="571586FA">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非研究项目资金按照“稳定支持、长效机制，遵循规律、引导带动，绩效导向、动态调整”的原则进行资助和管理，具体开支范围如下：</w:t>
      </w:r>
    </w:p>
    <w:p w14:paraId="6FE80DC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（一）人员聘用经费：是指支付给聘用的编制以外、不开支财政补助人员经费的专职研究人员、管理人员和国外访问学者的费用。</w:t>
      </w:r>
    </w:p>
    <w:p w14:paraId="346610F2">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（二）能力建设经费：是指用于改善科研条件，推进全方位能力建设的经费，主要包括开展的国内学术交流、国情调研、信息采集、成果转化、联合研究等费用。</w:t>
      </w:r>
    </w:p>
    <w:p w14:paraId="4AA4D27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14:paraId="302B85D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（四）奖励经费：是指根据研究人员实际贡献安排的奖励性费用，安排奖励性费用应加大对优秀人才和成果的奖励力度。</w:t>
      </w:r>
    </w:p>
    <w:p w14:paraId="10BB2636">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开支奖励经费的情况包括：</w:t>
      </w:r>
    </w:p>
    <w:p w14:paraId="76B59E8F">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1.坚持服务国家目标与鼓励自由探索相结合，在思想理论上有重大创新、传承文明上有突出贡献、学科建设上有显著推动；</w:t>
      </w:r>
    </w:p>
    <w:p w14:paraId="3090D5F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2.围绕国家重大战略，在解决经济社会发展重大问题上有重要贡献，为党和政府提供决策服务上有重要建树；</w:t>
      </w:r>
    </w:p>
    <w:p w14:paraId="3F6CAAD0">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3.阐释中国立场、发出中国声音，产生较大国际影响；</w:t>
      </w:r>
    </w:p>
    <w:p w14:paraId="46E1B7BE">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4.在方法创新上有重大突破；</w:t>
      </w:r>
    </w:p>
    <w:p w14:paraId="5C52C71E">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5.教育部认定在其他方面作出突出贡献的。</w:t>
      </w:r>
    </w:p>
    <w:p w14:paraId="6EADB498">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14:paraId="18F61E3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对于非研究项目资金中国家已规定开支标准的科目，应当严格按照国家有关规定执行；对于国家未规定开支标准的科目，各类非研究项目应当建立健全经费开支标准和管理制度。</w:t>
      </w:r>
    </w:p>
    <w:p w14:paraId="34F2B6B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非研究项目资金不得用于本办法第二十一条开支范围外的行政事业单位人员经费和公用经费。</w:t>
      </w:r>
    </w:p>
    <w:p w14:paraId="5E5973C8">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第四章</w:t>
      </w:r>
      <w:r>
        <w:rPr>
          <w:rFonts w:ascii="Calibri" w:hAnsi="Calibri" w:eastAsia="黑体" w:cs="Calibri"/>
          <w:color w:val="000000"/>
          <w:sz w:val="32"/>
          <w:szCs w:val="32"/>
        </w:rPr>
        <w:t>  </w:t>
      </w:r>
      <w:r>
        <w:rPr>
          <w:rFonts w:hint="eastAsia" w:ascii="黑体" w:hAnsi="黑体" w:eastAsia="黑体" w:cs="Times New Roman"/>
          <w:color w:val="000000"/>
          <w:sz w:val="32"/>
          <w:szCs w:val="32"/>
        </w:rPr>
        <w:t>管理资金</w:t>
      </w:r>
    </w:p>
    <w:p w14:paraId="28BBBAE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管理资金支出是指教育部在实施繁荣计划过程中发生的工作所需费用，包括组织、协调、评审、鉴定和奖励费用等。</w:t>
      </w:r>
    </w:p>
    <w:p w14:paraId="44FE7521">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按规定对“教育部科学研究优秀成果奖（人文社会科学）”、有价值高水平的咨政成果进行奖励。</w:t>
      </w:r>
    </w:p>
    <w:p w14:paraId="70E04FD2">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管理资金在实施过程中，按照“管、办、评”分离原则，推进政府购买服务，规范向社会力量购买服务的程序和方式。</w:t>
      </w:r>
    </w:p>
    <w:p w14:paraId="68632D83">
      <w:pPr>
        <w:pStyle w:val="2"/>
        <w:spacing w:line="315" w:lineRule="atLeast"/>
        <w:ind w:firstLine="645"/>
        <w:jc w:val="both"/>
        <w:rPr>
          <w:rFonts w:ascii="Times New Roman" w:hAnsi="Times New Roman" w:cs="Times New Roman"/>
          <w:color w:val="000000"/>
          <w:sz w:val="21"/>
          <w:szCs w:val="21"/>
        </w:rPr>
      </w:pPr>
      <w:r>
        <w:rPr>
          <w:rStyle w:val="5"/>
          <w:rFonts w:hint="eastAsia" w:ascii="仿宋_GB2312" w:hAnsi="Times New Roman" w:eastAsia="仿宋_GB2312" w:cs="Times New Roman"/>
          <w:color w:val="000000"/>
          <w:sz w:val="32"/>
          <w:szCs w:val="32"/>
        </w:rPr>
        <w:t> </w:t>
      </w:r>
    </w:p>
    <w:p w14:paraId="3FD5EF1B">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第五章</w:t>
      </w:r>
      <w:r>
        <w:rPr>
          <w:rFonts w:ascii="Calibri" w:hAnsi="Calibri" w:eastAsia="黑体" w:cs="Calibri"/>
          <w:color w:val="000000"/>
          <w:sz w:val="32"/>
          <w:szCs w:val="32"/>
        </w:rPr>
        <w:t>  </w:t>
      </w:r>
      <w:r>
        <w:rPr>
          <w:rFonts w:hint="eastAsia" w:ascii="黑体" w:hAnsi="黑体" w:eastAsia="黑体" w:cs="Times New Roman"/>
          <w:color w:val="000000"/>
          <w:sz w:val="32"/>
          <w:szCs w:val="32"/>
        </w:rPr>
        <w:t>预算执行与决算</w:t>
      </w:r>
    </w:p>
    <w:p w14:paraId="0D42A39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教育部根据部门预算编制要求，将繁荣计划专项资金三年支出规划和年度预算建议数报送财政部，财政部按部门预算程序审核后批复年度预算。</w:t>
      </w:r>
    </w:p>
    <w:p w14:paraId="508ACE51">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14:paraId="7819D9E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项目承担高校应当将资金纳入单位财务部门统一管理，单独核算，专款专用</w:t>
      </w:r>
      <w:r>
        <w:rPr>
          <w:rFonts w:hint="eastAsia" w:ascii="仿宋_GB2312" w:hAnsi="Times New Roman" w:eastAsia="仿宋_GB2312" w:cs="Times New Roman"/>
          <w:color w:val="333333"/>
          <w:sz w:val="32"/>
          <w:szCs w:val="32"/>
          <w:shd w:val="clear" w:color="auto" w:fill="FFFFFF"/>
        </w:rPr>
        <w:t>。</w:t>
      </w:r>
    </w:p>
    <w:p w14:paraId="12CA7DDE">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项目承担高校要根据项目负责人意见，及时将外拨资金拨付至项目合作单位，并加强对外拨资金的监督管理。</w:t>
      </w:r>
    </w:p>
    <w:p w14:paraId="7D4B719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项目负责人应当结合科研活动需要，科学合理安排资金支出进度。项目承担高校应当关注资金执行进度，有效提高资金使用效益。</w:t>
      </w:r>
    </w:p>
    <w:p w14:paraId="52523DD8">
      <w:pPr>
        <w:pStyle w:val="2"/>
        <w:spacing w:line="23" w:lineRule="atLeast"/>
        <w:ind w:firstLine="645"/>
        <w:jc w:val="both"/>
        <w:rPr>
          <w:color w:val="000000"/>
          <w:sz w:val="27"/>
          <w:szCs w:val="27"/>
        </w:rPr>
      </w:pPr>
      <w:r>
        <w:rPr>
          <w:rFonts w:hint="eastAsia" w:ascii="黑体" w:hAnsi="黑体" w:eastAsia="黑体"/>
          <w:color w:val="000000"/>
          <w:sz w:val="32"/>
          <w:szCs w:val="32"/>
        </w:rPr>
        <w:t>第三十条</w:t>
      </w:r>
      <w:r>
        <w:rPr>
          <w:rFonts w:hint="eastAsia" w:ascii="仿宋_GB2312" w:eastAsia="仿宋_GB2312"/>
          <w:color w:val="000000"/>
          <w:sz w:val="32"/>
          <w:szCs w:val="32"/>
        </w:rPr>
        <w:t> 繁荣计划专项资金按照国库集中支付制度规定拨付。</w:t>
      </w:r>
    </w:p>
    <w:p w14:paraId="381B6F18">
      <w:pPr>
        <w:pStyle w:val="2"/>
        <w:spacing w:line="23" w:lineRule="atLeast"/>
        <w:ind w:firstLine="645"/>
        <w:jc w:val="both"/>
        <w:rPr>
          <w:rFonts w:hint="eastAsia"/>
          <w:color w:val="000000"/>
          <w:sz w:val="27"/>
          <w:szCs w:val="27"/>
        </w:rPr>
      </w:pPr>
      <w:r>
        <w:rPr>
          <w:rFonts w:hint="eastAsia" w:ascii="黑体" w:hAnsi="黑体" w:eastAsia="黑体"/>
          <w:color w:val="000000"/>
          <w:sz w:val="32"/>
          <w:szCs w:val="32"/>
        </w:rPr>
        <w:t>第三十一条</w:t>
      </w:r>
      <w:r>
        <w:rPr>
          <w:rFonts w:hint="eastAsia" w:ascii="仿宋_GB2312" w:eastAsia="仿宋_GB2312"/>
          <w:color w:val="000000"/>
          <w:sz w:val="32"/>
          <w:szCs w:val="32"/>
        </w:rPr>
        <w:t> 繁荣计划专项资金不得用于租赁办公场所和基础设施建设，不得用于开支各种罚款、捐赠、赞助、投资、偿还债务等，不得用于与项目工作无关的支出，严禁以任何方式牟取私利。</w:t>
      </w:r>
    </w:p>
    <w:p w14:paraId="0F81CD94">
      <w:pPr>
        <w:pStyle w:val="2"/>
        <w:spacing w:line="315" w:lineRule="atLeast"/>
        <w:ind w:firstLine="645"/>
        <w:jc w:val="both"/>
        <w:rPr>
          <w:rFonts w:hint="eastAsia" w:ascii="Times New Roman" w:hAnsi="Times New Roman" w:cs="Times New Roman"/>
          <w:color w:val="000000"/>
          <w:sz w:val="21"/>
          <w:szCs w:val="21"/>
        </w:rPr>
      </w:pPr>
      <w:r>
        <w:rPr>
          <w:rFonts w:hint="eastAsia" w:ascii="黑体" w:hAnsi="黑体" w:eastAsia="黑体" w:cs="Times New Roman"/>
          <w:color w:val="000000"/>
          <w:sz w:val="32"/>
          <w:szCs w:val="32"/>
        </w:rPr>
        <w:t>第三十二条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14:paraId="01B862CA">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专项资金支出属于政府采购范围的，应当按照政府采购有关规定执行。对科研急需的设备和耗材采取特事特办、随到随办的采购机制。</w:t>
      </w:r>
    </w:p>
    <w:p w14:paraId="19B27F74">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14:paraId="6FD05517">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凡使用繁荣计划专项资金形成的固定资产、无形资产等属于国有资产，应当按照国有资产管理的有关规定执行。</w:t>
      </w:r>
    </w:p>
    <w:p w14:paraId="265D3CE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项目承担高校要切实强化法人责任，严格按照国家有关规定和本办法规定，指导项目负责人科学合理编制预算，规范预算调剂程序，加强对外拨资金、间接费用、结转结余资金等的审核和管理。</w:t>
      </w:r>
    </w:p>
    <w:p w14:paraId="61F74DC0">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14:paraId="676EB00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项目承担高校应当改进财务报销管理方式，充分利用信息化手段，推动项目经费数字化、无纸化报销，建立符合科研实际需要的内部报销机制。</w:t>
      </w:r>
    </w:p>
    <w:p w14:paraId="1C64620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项目承担高校应将繁荣计划专项资金收支情况纳入单位年度决算统一编报。</w:t>
      </w:r>
    </w:p>
    <w:p w14:paraId="52124E3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完成研究后，项目负责人应当按照学校财务规定清理账目与资产，据实编报决算，并附财务部门审核确认的资金收支明细账，与结项验收材料一并报送教育部。</w:t>
      </w:r>
    </w:p>
    <w:p w14:paraId="234F3E0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有外拨资金的项目，外拨资金决算经合作研究单位财务、审计部门审核并签署意见后，由项目负责人汇总编制项目资金决算。</w:t>
      </w:r>
    </w:p>
    <w:p w14:paraId="320AF57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14:paraId="6977EA8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对于非研究项目资金和管理资金，按照财政部关于结转结余资金管理有关规定执行。</w:t>
      </w:r>
    </w:p>
    <w:p w14:paraId="386C8F5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第四十一条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14:paraId="37C3B7BA">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项目承担高校发生变更的，原承担高校应当及时向新承担高校转拨项目资金。</w:t>
      </w:r>
    </w:p>
    <w:p w14:paraId="6A6C1A1B">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第六章</w:t>
      </w:r>
      <w:r>
        <w:rPr>
          <w:rFonts w:ascii="Calibri" w:hAnsi="Calibri" w:eastAsia="黑体" w:cs="Calibri"/>
          <w:color w:val="000000"/>
          <w:sz w:val="32"/>
          <w:szCs w:val="32"/>
        </w:rPr>
        <w:t>  </w:t>
      </w:r>
      <w:r>
        <w:rPr>
          <w:rFonts w:hint="eastAsia" w:ascii="黑体" w:hAnsi="黑体" w:eastAsia="黑体" w:cs="Times New Roman"/>
          <w:color w:val="000000"/>
          <w:sz w:val="32"/>
          <w:szCs w:val="32"/>
        </w:rPr>
        <w:t>绩效管理与监督检查</w:t>
      </w:r>
    </w:p>
    <w:p w14:paraId="50327F3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14:paraId="3C4708B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项目承担高校要切实加强绩效管理，引导科研资源向优秀人才和团队倾斜，提高科研经费使用效益。</w:t>
      </w:r>
    </w:p>
    <w:p w14:paraId="0C25527C">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14:paraId="0EDA0CE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项目承担高校应当建立信息公开机制，在学校内部主动公开预算、预算调剂、决算、设备购置、外拨资金、劳务费发放、间接费用、结余资金使用等情况，自觉接受监督。</w:t>
      </w:r>
    </w:p>
    <w:p w14:paraId="5E2DDA0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项目承担高校要动态监管经费使用并实时预警提醒。对项目承担高校和科研人员在科研经费管理使用过程中出现的失信情况，纳入信用记录管理，对严重失信行为实行追责和惩戒。</w:t>
      </w:r>
    </w:p>
    <w:p w14:paraId="2013004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第四十六条</w:t>
      </w:r>
      <w:r>
        <w:rPr>
          <w:rFonts w:hint="eastAsia" w:ascii="仿宋_GB2312" w:hAnsi="Times New Roman" w:eastAsia="仿宋_GB2312" w:cs="Times New Roman"/>
          <w:color w:val="000000"/>
          <w:sz w:val="32"/>
          <w:szCs w:val="32"/>
        </w:rPr>
        <w:t> 项目承担高校和项目负责人应当依法依规管理使用专项资金，不得存在以下行为：</w:t>
      </w:r>
    </w:p>
    <w:p w14:paraId="13FEC90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虚假编报项目预算；</w:t>
      </w:r>
    </w:p>
    <w:p w14:paraId="30723F6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未对繁荣计划专项资金进行单独核算；</w:t>
      </w:r>
    </w:p>
    <w:p w14:paraId="29F7E91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列支与项目任务无关的支出；</w:t>
      </w:r>
    </w:p>
    <w:p w14:paraId="26B56BC0">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（四）</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违反规定转拨项目资金；</w:t>
      </w:r>
    </w:p>
    <w:p w14:paraId="18F3632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（五）</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通过虚假合同、虚假票据、虚构事项、虚报人员等弄虚作假方式，转移、套取、报销项目资金；</w:t>
      </w:r>
    </w:p>
    <w:p w14:paraId="4C3027D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（六）</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截留、挤占、挪用项目资金；</w:t>
      </w:r>
    </w:p>
    <w:p w14:paraId="6E760872">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（七）</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设置账外账、随意调账变动支出、随意修改记账凭证、提供虚假财务会计资料等；</w:t>
      </w:r>
    </w:p>
    <w:p w14:paraId="412F0256">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（八）</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在使用项目资金中以任何方式列支应由个人负担的有关费用和利用项目资金支付各种罚款、捐款、赞助、投资、偿还债务等；</w:t>
      </w:r>
    </w:p>
    <w:p w14:paraId="4379801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（九）</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其他违反国家财经纪律的行为。</w:t>
      </w:r>
    </w:p>
    <w:p w14:paraId="273322C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6FCA303D">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14:paraId="3AA98F58">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第七章</w:t>
      </w:r>
      <w:r>
        <w:rPr>
          <w:rFonts w:ascii="Calibri" w:hAnsi="Calibri" w:eastAsia="黑体" w:cs="Calibri"/>
          <w:color w:val="000000"/>
          <w:sz w:val="32"/>
          <w:szCs w:val="32"/>
        </w:rPr>
        <w:t>  </w:t>
      </w:r>
      <w:r>
        <w:rPr>
          <w:rFonts w:hint="eastAsia" w:ascii="黑体" w:hAnsi="黑体" w:eastAsia="黑体" w:cs="Times New Roman"/>
          <w:color w:val="000000"/>
          <w:sz w:val="32"/>
          <w:szCs w:val="32"/>
        </w:rPr>
        <w:t>附</w:t>
      </w:r>
      <w:r>
        <w:rPr>
          <w:rFonts w:ascii="Calibri" w:hAnsi="Calibri" w:eastAsia="黑体" w:cs="Calibri"/>
          <w:color w:val="000000"/>
          <w:sz w:val="32"/>
          <w:szCs w:val="32"/>
        </w:rPr>
        <w:t>  </w:t>
      </w:r>
      <w:r>
        <w:rPr>
          <w:rFonts w:hint="eastAsia" w:ascii="黑体" w:hAnsi="黑体" w:eastAsia="黑体" w:cs="Times New Roman"/>
          <w:color w:val="000000"/>
          <w:sz w:val="32"/>
          <w:szCs w:val="32"/>
        </w:rPr>
        <w:t>则</w:t>
      </w:r>
    </w:p>
    <w:p w14:paraId="15ECEE20">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本办法由财政部、教育部负责解释。</w:t>
      </w:r>
    </w:p>
    <w:p w14:paraId="3D77FC3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本办法自颁布之日起施行。2016年11月24日财政部、教育部印发的《高等学校哲学社会科学繁荣计划专项资金管理办法》（财教〔2016〕317号）同时废止。</w:t>
      </w:r>
    </w:p>
    <w:p w14:paraId="3F13CBD5">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第五十条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各项目承担高校要依据本办法修订完善内部相关管理办法。</w:t>
      </w:r>
    </w:p>
    <w:p w14:paraId="24E22F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28"/>
    <w:rsid w:val="00B07A28"/>
    <w:rsid w:val="0E12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6455</Words>
  <Characters>6508</Characters>
  <Lines>47</Lines>
  <Paragraphs>13</Paragraphs>
  <TotalTime>0</TotalTime>
  <ScaleCrop>false</ScaleCrop>
  <LinksUpToDate>false</LinksUpToDate>
  <CharactersWithSpaces>6588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2022-01-29T13:06:00Z</dcterms:created>
  <dc:creator>944500590@qq.com</dc:creator>
  <cp:lastModifiedBy>WPS_1220534064</cp:lastModifiedBy>
  <dcterms:modified xsi:type="dcterms:W3CDTF">2025-09-16T01:27:25Z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D2DA40D35D8F4B088B0E74E9712DE245_13</vt:lpwstr>
  </property>
</Properties>
</file>